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4E292F" w:rsidTr="00485A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 w:eastAsia="en-US"/>
              </w:rPr>
            </w:pPr>
            <w:r w:rsidRPr="004E292F">
              <w:rPr>
                <w:szCs w:val="28"/>
                <w:lang w:val="tt-RU"/>
              </w:rPr>
              <w:t>РЕСПУБЛИКА ТАТАРСТАН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rFonts w:eastAsia="Calibri"/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 xml:space="preserve">Исполнительный комитет 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Елантовского сельского поселения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423597, Нижнекамский район, </w:t>
            </w: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Елантово, ул. Нагорная, 1г</w:t>
            </w:r>
          </w:p>
          <w:p w:rsidR="004E292F" w:rsidRDefault="004E292F" w:rsidP="00485A1D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 w:eastAsia="en-US"/>
              </w:rPr>
            </w:pPr>
            <w:r w:rsidRPr="004E292F">
              <w:rPr>
                <w:szCs w:val="28"/>
                <w:lang w:val="tt-RU"/>
              </w:rPr>
              <w:t xml:space="preserve">ТАТАРСТАН РЕСПУБЛИКАСЫ 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rFonts w:eastAsia="Calibri"/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Түбән Кама муниципаль районы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Елантау авыл жирлеге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Башкарма комитеты</w:t>
            </w:r>
          </w:p>
          <w:p w:rsid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423597, Түбән Кама  районы, </w:t>
            </w: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Елантау авылы Нагорная урамы, 1г</w:t>
            </w:r>
          </w:p>
          <w:p w:rsidR="004E292F" w:rsidRDefault="004E292F" w:rsidP="00485A1D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4E292F" w:rsidTr="00485A1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E292F" w:rsidRDefault="004E292F" w:rsidP="00485A1D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bCs/>
                <w:sz w:val="20"/>
              </w:rPr>
              <w:t>Elan</w:t>
            </w:r>
            <w:proofErr w:type="spellEnd"/>
            <w:r>
              <w:rPr>
                <w:bCs/>
                <w:sz w:val="20"/>
                <w:lang w:val="en-US"/>
              </w:rPr>
              <w:t>t</w:t>
            </w:r>
            <w:r>
              <w:rPr>
                <w:bCs/>
                <w:sz w:val="20"/>
              </w:rPr>
              <w:t>.</w:t>
            </w:r>
            <w:proofErr w:type="spellStart"/>
            <w:r>
              <w:rPr>
                <w:bCs/>
                <w:sz w:val="20"/>
                <w:lang w:val="en-US"/>
              </w:rPr>
              <w:t>Nk</w:t>
            </w:r>
            <w:proofErr w:type="spellEnd"/>
            <w:r>
              <w:rPr>
                <w:bCs/>
                <w:sz w:val="20"/>
              </w:rPr>
              <w:t>@</w:t>
            </w:r>
            <w:proofErr w:type="spellStart"/>
            <w:r>
              <w:rPr>
                <w:bCs/>
                <w:sz w:val="20"/>
              </w:rPr>
              <w:t>tatar.ru</w:t>
            </w:r>
            <w:proofErr w:type="spellEnd"/>
            <w:r>
              <w:rPr>
                <w:bCs/>
                <w:sz w:val="20"/>
              </w:rPr>
              <w:t xml:space="preserve">, сайт: </w:t>
            </w:r>
            <w:r>
              <w:rPr>
                <w:bCs/>
                <w:sz w:val="20"/>
                <w:lang w:val="en-US"/>
              </w:rPr>
              <w:t>www</w:t>
            </w:r>
            <w:r>
              <w:rPr>
                <w:bCs/>
                <w:sz w:val="20"/>
              </w:rPr>
              <w:t>.</w:t>
            </w:r>
            <w: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elantovskoe</w:t>
            </w:r>
            <w:proofErr w:type="spellEnd"/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sp</w:t>
            </w:r>
            <w:r>
              <w:rPr>
                <w:bCs/>
                <w:sz w:val="20"/>
              </w:rPr>
              <w:t>.</w:t>
            </w:r>
            <w:proofErr w:type="spellStart"/>
            <w:r>
              <w:rPr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1B4961" w:rsidRDefault="001B4961" w:rsidP="001B4961">
      <w:pPr>
        <w:rPr>
          <w:szCs w:val="28"/>
          <w:lang w:val="tt-RU"/>
        </w:rPr>
      </w:pPr>
    </w:p>
    <w:p w:rsidR="001B4961" w:rsidRPr="005B0371" w:rsidRDefault="001B4961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</w:t>
      </w:r>
      <w:r w:rsidR="00945D9D">
        <w:rPr>
          <w:b/>
          <w:szCs w:val="28"/>
          <w:lang w:val="tt-RU"/>
        </w:rPr>
        <w:t xml:space="preserve">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 w:rsidR="00945D9D">
        <w:rPr>
          <w:b/>
          <w:szCs w:val="28"/>
          <w:lang w:val="tt-RU"/>
        </w:rPr>
        <w:t xml:space="preserve"> 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1B4961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от 31.01.2019 г.                                                                                                     № </w:t>
      </w:r>
      <w:r w:rsidR="004E292F">
        <w:rPr>
          <w:szCs w:val="28"/>
          <w:lang w:val="tt-RU"/>
        </w:rPr>
        <w:t>1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06"/>
      </w:tblGrid>
      <w:tr w:rsidR="004F5CD7" w:rsidRPr="004F5CD7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F6763F" w:rsidRPr="004F5CD7" w:rsidRDefault="004E292F" w:rsidP="009C587C">
            <w:pPr>
              <w:ind w:right="115"/>
              <w:rPr>
                <w:szCs w:val="28"/>
              </w:rPr>
            </w:pPr>
            <w:proofErr w:type="spellStart"/>
            <w:r>
              <w:rPr>
                <w:szCs w:val="28"/>
              </w:rPr>
              <w:t>Елантау</w:t>
            </w:r>
            <w:proofErr w:type="spellEnd"/>
            <w:r w:rsidR="009C587C">
              <w:rPr>
                <w:szCs w:val="28"/>
              </w:rPr>
              <w:t xml:space="preserve"> </w:t>
            </w:r>
            <w:proofErr w:type="spellStart"/>
            <w:r w:rsidR="009C587C">
              <w:rPr>
                <w:szCs w:val="28"/>
              </w:rPr>
              <w:t>авыл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E5076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E2714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буенча</w:t>
            </w:r>
            <w:proofErr w:type="spellEnd"/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гарантияләнгән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торган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турында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91BD5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91BD5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закон,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законны </w:t>
      </w:r>
      <w:r w:rsid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E5076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F6763F" w:rsidRPr="00F6763F">
        <w:rPr>
          <w:sz w:val="28"/>
          <w:szCs w:val="28"/>
        </w:rPr>
        <w:t>карар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proofErr w:type="spellStart"/>
      <w:r w:rsidR="004E292F">
        <w:rPr>
          <w:sz w:val="28"/>
          <w:szCs w:val="28"/>
        </w:rPr>
        <w:t>Елантау</w:t>
      </w:r>
      <w:proofErr w:type="spellEnd"/>
      <w:r w:rsidR="009C587C" w:rsidRPr="009C587C">
        <w:rPr>
          <w:sz w:val="28"/>
          <w:szCs w:val="28"/>
        </w:rPr>
        <w:t xml:space="preserve">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9C587C" w:rsidRPr="009C58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 xml:space="preserve">җирлегендә </w:t>
      </w:r>
      <w:r w:rsidR="009C587C" w:rsidRPr="009C587C">
        <w:rPr>
          <w:sz w:val="28"/>
          <w:szCs w:val="28"/>
        </w:rPr>
        <w:t>җирләү</w:t>
      </w:r>
      <w:r w:rsidR="009C587C">
        <w:rPr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E5076C">
        <w:rPr>
          <w:rFonts w:ascii="Times New Roman" w:hAnsi="Times New Roman" w:cs="Times New Roman"/>
          <w:sz w:val="28"/>
          <w:szCs w:val="28"/>
        </w:rPr>
        <w:t>җирлеге</w:t>
      </w:r>
      <w:r w:rsidR="009C587C">
        <w:rPr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E5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</w:t>
      </w:r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r w:rsidR="007D0356" w:rsidRPr="007D0356">
        <w:rPr>
          <w:rFonts w:ascii="Times New Roman" w:hAnsi="Times New Roman" w:cs="Times New Roman"/>
          <w:sz w:val="28"/>
          <w:szCs w:val="28"/>
        </w:rPr>
        <w:t>наштырырга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E2714C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>
        <w:rPr>
          <w:szCs w:val="28"/>
        </w:rPr>
        <w:t xml:space="preserve"> </w:t>
      </w:r>
      <w:r w:rsidR="002B789D">
        <w:rPr>
          <w:szCs w:val="28"/>
        </w:rPr>
        <w:t>контрольдә</w:t>
      </w:r>
      <w:r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Н.А. Бурмистров</w:t>
      </w:r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4E292F">
          <w:pgSz w:w="11906" w:h="16838" w:code="9"/>
          <w:pgMar w:top="567" w:right="567" w:bottom="1134" w:left="1134" w:header="709" w:footer="709" w:gutter="0"/>
          <w:cols w:space="708"/>
          <w:docGrid w:linePitch="360"/>
        </w:sectPr>
      </w:pPr>
    </w:p>
    <w:p w:rsidR="009573CE" w:rsidRPr="009573CE" w:rsidRDefault="004E292F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Елантау</w:t>
      </w:r>
      <w:proofErr w:type="spellEnd"/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</w:p>
    <w:p w:rsidR="002B789D" w:rsidRPr="009573CE" w:rsidRDefault="004E292F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4E292F" w:rsidP="002B789D">
      <w:pPr>
        <w:jc w:val="center"/>
        <w:rPr>
          <w:szCs w:val="28"/>
        </w:rPr>
      </w:pPr>
      <w:proofErr w:type="spellStart"/>
      <w:r>
        <w:rPr>
          <w:szCs w:val="28"/>
        </w:rPr>
        <w:t>Елантау</w:t>
      </w:r>
      <w:proofErr w:type="spellEnd"/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4E292F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Елантау</w:t>
      </w:r>
      <w:proofErr w:type="spellEnd"/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  <w:r w:rsidRPr="009573CE">
        <w:rPr>
          <w:sz w:val="24"/>
          <w:szCs w:val="24"/>
        </w:rPr>
        <w:t xml:space="preserve"> </w:t>
      </w:r>
    </w:p>
    <w:p w:rsidR="006E7A1A" w:rsidRPr="009573CE" w:rsidRDefault="004E292F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4E292F" w:rsidP="006E7A1A">
      <w:pPr>
        <w:jc w:val="center"/>
        <w:rPr>
          <w:szCs w:val="28"/>
        </w:rPr>
      </w:pPr>
      <w:proofErr w:type="spellStart"/>
      <w:r>
        <w:rPr>
          <w:szCs w:val="28"/>
        </w:rPr>
        <w:t>Елантау</w:t>
      </w:r>
      <w:proofErr w:type="spellEnd"/>
      <w:r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4E292F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B789D"/>
    <w:rsid w:val="00303354"/>
    <w:rsid w:val="00357AB1"/>
    <w:rsid w:val="004E292F"/>
    <w:rsid w:val="004F2344"/>
    <w:rsid w:val="004F5CD7"/>
    <w:rsid w:val="00623874"/>
    <w:rsid w:val="00656831"/>
    <w:rsid w:val="006E7A1A"/>
    <w:rsid w:val="00712B8C"/>
    <w:rsid w:val="007D0356"/>
    <w:rsid w:val="007D7CB2"/>
    <w:rsid w:val="008522F0"/>
    <w:rsid w:val="00891BD5"/>
    <w:rsid w:val="009051D6"/>
    <w:rsid w:val="00945D9D"/>
    <w:rsid w:val="009573CE"/>
    <w:rsid w:val="009C587C"/>
    <w:rsid w:val="009D7FC5"/>
    <w:rsid w:val="00B5365B"/>
    <w:rsid w:val="00BE1ABE"/>
    <w:rsid w:val="00DF0D42"/>
    <w:rsid w:val="00E210D5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2019-02-08T12:40:00Z</cp:lastPrinted>
  <dcterms:created xsi:type="dcterms:W3CDTF">2019-02-18T07:07:00Z</dcterms:created>
  <dcterms:modified xsi:type="dcterms:W3CDTF">2019-02-18T07:07:00Z</dcterms:modified>
</cp:coreProperties>
</file>